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.75pt" o:ole="" fillcolor="window">
            <v:imagedata r:id="rId9" o:title=""/>
          </v:shape>
          <o:OLEObject Type="Embed" ProgID="Word.Picture.8" ShapeID="_x0000_i1025" DrawAspect="Content" ObjectID="_1840177831" r:id="rId10"/>
        </w:object>
      </w:r>
      <w:r w:rsidR="009A06DE">
        <w:rPr>
          <w:sz w:val="28"/>
          <w:szCs w:val="28"/>
        </w:rPr>
        <w:t>от</w:t>
      </w:r>
      <w:r w:rsidR="00C928CE">
        <w:rPr>
          <w:sz w:val="28"/>
          <w:szCs w:val="28"/>
        </w:rPr>
        <w:t xml:space="preserve"> 12.05.2026</w:t>
      </w:r>
      <w:r w:rsidR="009A06DE">
        <w:rPr>
          <w:sz w:val="28"/>
          <w:szCs w:val="28"/>
        </w:rPr>
        <w:t xml:space="preserve"> </w:t>
      </w:r>
      <w:r w:rsidR="002B20E2">
        <w:rPr>
          <w:sz w:val="28"/>
          <w:szCs w:val="28"/>
        </w:rPr>
        <w:t xml:space="preserve">                                                                   </w:t>
      </w:r>
      <w:r w:rsidR="00C928CE">
        <w:rPr>
          <w:sz w:val="28"/>
          <w:szCs w:val="28"/>
        </w:rPr>
        <w:t xml:space="preserve">                  </w:t>
      </w:r>
      <w:r w:rsidR="002B20E2">
        <w:rPr>
          <w:sz w:val="28"/>
          <w:szCs w:val="28"/>
        </w:rPr>
        <w:t xml:space="preserve">               </w:t>
      </w:r>
      <w:r w:rsidR="00C928CE">
        <w:rPr>
          <w:sz w:val="28"/>
          <w:szCs w:val="28"/>
        </w:rPr>
        <w:t>№95-п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О внесении изменений в постановление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администрации города Прокопьевска </w:t>
      </w:r>
    </w:p>
    <w:p w:rsidR="008821AE" w:rsidRPr="009667D9" w:rsidRDefault="002B20E2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24.03.2022 №</w:t>
      </w:r>
      <w:r w:rsidR="008821AE" w:rsidRPr="009667D9">
        <w:rPr>
          <w:sz w:val="28"/>
          <w:szCs w:val="28"/>
        </w:rPr>
        <w:t xml:space="preserve">59-п  «Об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 «Выдача градостроительного 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плана земельного участка»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DE3" w:rsidRDefault="00212315" w:rsidP="00BE5DE3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В соответствии со статьей 57.3 Градостроительного кодекса Российской Федерации, </w:t>
      </w:r>
      <w:r w:rsidR="00A058CB">
        <w:rPr>
          <w:sz w:val="28"/>
          <w:szCs w:val="28"/>
        </w:rPr>
        <w:t xml:space="preserve"> статьей 52 Федерального закона от 20.03.2025 №33-ФЗ «Об общих принципах организации местного самоуправления в единой системе публичной власти», </w:t>
      </w:r>
      <w:r w:rsidRPr="009667D9">
        <w:rPr>
          <w:sz w:val="28"/>
          <w:szCs w:val="28"/>
        </w:rPr>
        <w:t xml:space="preserve">статьей 13 Федерального закона от 27.07.2010 №210-ФЗ  </w:t>
      </w:r>
      <w:r w:rsidR="00A058CB">
        <w:rPr>
          <w:sz w:val="28"/>
          <w:szCs w:val="28"/>
        </w:rPr>
        <w:t xml:space="preserve">                          </w:t>
      </w:r>
      <w:r w:rsidRPr="009667D9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BE5DE3">
        <w:rPr>
          <w:sz w:val="28"/>
          <w:szCs w:val="28"/>
        </w:rPr>
        <w:t>постановлением администрации города</w:t>
      </w:r>
      <w:r w:rsidR="00BE5DE3" w:rsidRPr="00746606">
        <w:rPr>
          <w:sz w:val="28"/>
          <w:szCs w:val="28"/>
        </w:rPr>
        <w:t xml:space="preserve"> Проко</w:t>
      </w:r>
      <w:r w:rsidR="00BE5DE3">
        <w:rPr>
          <w:sz w:val="28"/>
          <w:szCs w:val="28"/>
        </w:rPr>
        <w:t>пьевска от 25.03.2026 №46</w:t>
      </w:r>
      <w:r w:rsidR="00BE5DE3" w:rsidRPr="00746606">
        <w:rPr>
          <w:sz w:val="28"/>
          <w:szCs w:val="28"/>
        </w:rPr>
        <w:t xml:space="preserve">-п </w:t>
      </w:r>
      <w:r w:rsidR="00BE5DE3">
        <w:rPr>
          <w:sz w:val="28"/>
          <w:szCs w:val="28"/>
        </w:rPr>
        <w:t xml:space="preserve">  </w:t>
      </w:r>
      <w:r w:rsidR="00BE5DE3" w:rsidRPr="00746606">
        <w:rPr>
          <w:sz w:val="28"/>
          <w:szCs w:val="28"/>
        </w:rPr>
        <w:t>«О</w:t>
      </w:r>
      <w:r w:rsidR="00BE5DE3">
        <w:rPr>
          <w:sz w:val="28"/>
          <w:szCs w:val="28"/>
        </w:rPr>
        <w:t>б утверждении Порядка</w:t>
      </w:r>
      <w:r w:rsidR="00BE5DE3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BE5DE3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1. Изложить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города Прокопьевска от 24.03.2022 №59-п «Об утверждении административного регламента предоставления муниципальной услуги «Выдача градостроительного плана земельного участка» (в редакции постановлений администрации города Прокопьевска от 12.07.2022 №186-п, от 04.04.2024 №47-п, от 25.06.202</w:t>
      </w:r>
      <w:r w:rsidR="001A3776">
        <w:rPr>
          <w:sz w:val="28"/>
          <w:szCs w:val="28"/>
        </w:rPr>
        <w:t>4</w:t>
      </w:r>
      <w:r w:rsidRPr="009667D9">
        <w:rPr>
          <w:sz w:val="28"/>
          <w:szCs w:val="28"/>
        </w:rPr>
        <w:t xml:space="preserve"> №89-п</w:t>
      </w:r>
      <w:r w:rsidR="002B20E2">
        <w:rPr>
          <w:sz w:val="28"/>
          <w:szCs w:val="28"/>
        </w:rPr>
        <w:t xml:space="preserve">, </w:t>
      </w:r>
      <w:r w:rsidR="002B20E2" w:rsidRPr="002B20E2">
        <w:rPr>
          <w:sz w:val="28"/>
          <w:szCs w:val="28"/>
        </w:rPr>
        <w:t>от 07.08.2025 №138-п</w:t>
      </w:r>
      <w:r w:rsidRPr="009667D9">
        <w:rPr>
          <w:sz w:val="28"/>
          <w:szCs w:val="28"/>
        </w:rPr>
        <w:t>) в новой редакции согласно приложению к настоящему постановлению.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A058CB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079BA" w:rsidRPr="009667D9" w:rsidRDefault="005079BA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B05B4C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от </w:t>
      </w:r>
      <w:r w:rsidR="00B05B4C">
        <w:rPr>
          <w:sz w:val="28"/>
          <w:szCs w:val="28"/>
        </w:rPr>
        <w:t>12.05.2026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>№</w:t>
      </w:r>
      <w:r w:rsidR="00B05B4C">
        <w:rPr>
          <w:sz w:val="28"/>
          <w:szCs w:val="28"/>
        </w:rPr>
        <w:t>95-п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9667D9">
        <w:rPr>
          <w:b/>
        </w:rPr>
        <w:t>«Выдача градостроительного плана земельного участка»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градостроительного плана земельного участка</w:t>
      </w:r>
      <w:r w:rsidRPr="009667D9">
        <w:rPr>
          <w:rStyle w:val="normaltextrun"/>
          <w:rFonts w:ascii="Times New Roman" w:hAnsi="Times New Roman" w:cs="Times New Roman"/>
          <w:sz w:val="28"/>
          <w:szCs w:val="28"/>
        </w:rPr>
        <w:t xml:space="preserve">»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21231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667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667D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участка.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выдаче градостроительного плана земельного участка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305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2.3.1. При обращении заявителя за выдачей градостроительного плана земельного участка результатом предоставления муниципальной услуги является:</w:t>
      </w:r>
    </w:p>
    <w:p w:rsidR="00212315" w:rsidRPr="00870328" w:rsidRDefault="00212315" w:rsidP="0087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sz w:val="28"/>
          <w:szCs w:val="28"/>
        </w:rPr>
        <w:t>а)</w:t>
      </w:r>
      <w:r w:rsidRPr="009667D9">
        <w:rPr>
          <w:sz w:val="28"/>
          <w:szCs w:val="28"/>
        </w:rPr>
        <w:tab/>
      </w:r>
      <w:r w:rsidRPr="00870328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2C058C">
        <w:rPr>
          <w:rFonts w:ascii="Times New Roman" w:hAnsi="Times New Roman" w:cs="Times New Roman"/>
          <w:sz w:val="28"/>
          <w:szCs w:val="28"/>
        </w:rPr>
        <w:t xml:space="preserve"> на бумажном носителе или в электронном виде</w:t>
      </w:r>
      <w:r w:rsidRPr="00870328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</w:t>
      </w:r>
      <w:r w:rsidRPr="009667D9">
        <w:rPr>
          <w:rFonts w:ascii="Times New Roman" w:hAnsi="Times New Roman" w:cs="Times New Roman"/>
          <w:sz w:val="28"/>
          <w:szCs w:val="28"/>
        </w:rPr>
        <w:tab/>
        <w:t>решение об отказе в выдаче градостроительного плана земельного участка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="002C058C">
        <w:rPr>
          <w:rFonts w:ascii="Times New Roman" w:hAnsi="Times New Roman" w:cs="Times New Roman"/>
          <w:sz w:val="28"/>
          <w:szCs w:val="28"/>
        </w:rPr>
        <w:t>на бумажном носителе или в электронном виде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</w:t>
      </w:r>
      <w:r w:rsidRPr="009667D9">
        <w:rPr>
          <w:rFonts w:ascii="Times New Roman" w:hAnsi="Times New Roman" w:cs="Times New Roman"/>
          <w:sz w:val="28"/>
          <w:szCs w:val="28"/>
        </w:rPr>
        <w:tab/>
        <w:t>градостроительный план земельного участка.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номер;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</w:t>
      </w:r>
      <w:r w:rsidRPr="009667D9">
        <w:rPr>
          <w:rFonts w:ascii="Times New Roman" w:hAnsi="Times New Roman" w:cs="Times New Roman"/>
          <w:sz w:val="28"/>
          <w:szCs w:val="28"/>
        </w:rPr>
        <w:tab/>
        <w:t>решение об отказе в выдаче градостроительного плана земельного участка.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номер.</w:t>
      </w:r>
    </w:p>
    <w:p w:rsidR="00212315" w:rsidRPr="009667D9" w:rsidRDefault="00212315" w:rsidP="00212315">
      <w:pPr>
        <w:pStyle w:val="1a"/>
        <w:tabs>
          <w:tab w:val="left" w:pos="1180"/>
        </w:tabs>
        <w:ind w:firstLine="567"/>
        <w:jc w:val="both"/>
      </w:pPr>
      <w:r w:rsidRPr="009667D9">
        <w:t>2.3.2. Возможность оставления заявления без рассмотрения не предусмотрена.</w:t>
      </w:r>
    </w:p>
    <w:p w:rsidR="00212315" w:rsidRPr="009667D9" w:rsidRDefault="00212315" w:rsidP="00212315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9667D9">
        <w:rPr>
          <w:sz w:val="28"/>
          <w:szCs w:val="28"/>
        </w:rPr>
        <w:t xml:space="preserve"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sz w:val="30"/>
          <w:szCs w:val="30"/>
        </w:rPr>
        <w:t xml:space="preserve">с использованием государственных информационных систем </w:t>
      </w:r>
      <w:r w:rsidRPr="009667D9">
        <w:rPr>
          <w:sz w:val="30"/>
          <w:szCs w:val="30"/>
        </w:rPr>
        <w:lastRenderedPageBreak/>
        <w:t xml:space="preserve">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</w:t>
      </w:r>
      <w:r w:rsidRPr="009667D9">
        <w:rPr>
          <w:sz w:val="28"/>
          <w:szCs w:val="28"/>
        </w:rPr>
        <w:t>почтовым отправлением, в МФЦ, в Уполномоченном органе при личном обращении.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2.4.1. Максимальный срок предоставления муниципальной услуги:</w:t>
      </w: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а) Уполномоченный орган в течение 14 рабочих дней со дня регистрации заявления и документов, необходимых для предоставления муниципальной услуги,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в случае предоставления заявления и документов через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в течении 14 рабочих дней, срок исчисляется со дня передачи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7B2C" w:rsidRPr="00DC3999" w:rsidRDefault="009E7B2C" w:rsidP="009E7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Default="00CE7F12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>м сайте Уполномоченного 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AB21D8" w:rsidRPr="00DC3999" w:rsidRDefault="00AB21D8" w:rsidP="00AB21D8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81373" w:rsidRPr="009667D9" w:rsidRDefault="00D81373" w:rsidP="00D813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667D9" w:rsidRDefault="000D1D4E" w:rsidP="000D1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667D9" w:rsidRDefault="00D81373" w:rsidP="00D81373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1D8" w:rsidRPr="00DC3999" w:rsidRDefault="00AB21D8" w:rsidP="00AB21D8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Default="000B6E0F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2.10.2. </w:t>
      </w:r>
      <w:r w:rsidRPr="009667D9">
        <w:rPr>
          <w:lang w:bidi="ru-RU"/>
        </w:rPr>
        <w:t xml:space="preserve">При предоставлении муниципальной услуги </w:t>
      </w:r>
      <w:r>
        <w:rPr>
          <w:lang w:bidi="ru-RU"/>
        </w:rPr>
        <w:t xml:space="preserve"> 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841538">
      <w:pPr>
        <w:pStyle w:val="1a"/>
        <w:shd w:val="clear" w:color="auto" w:fill="auto"/>
        <w:tabs>
          <w:tab w:val="left" w:pos="1646"/>
        </w:tabs>
        <w:spacing w:line="240" w:lineRule="auto"/>
        <w:ind w:left="538" w:firstLine="0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r w:rsidRPr="009667D9">
        <w:rPr>
          <w:lang w:bidi="ru-RU"/>
        </w:rPr>
        <w:t>в)</w:t>
      </w:r>
      <w:r w:rsidRPr="009667D9">
        <w:rPr>
          <w:lang w:bidi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r w:rsidRPr="009667D9">
        <w:rPr>
          <w:lang w:bidi="ru-RU"/>
        </w:rPr>
        <w:t>г)</w:t>
      </w:r>
      <w:r w:rsidRPr="009667D9">
        <w:rPr>
          <w:lang w:bidi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r w:rsidRPr="009667D9">
        <w:rPr>
          <w:lang w:bidi="ru-RU"/>
        </w:rPr>
        <w:t>д)</w:t>
      </w:r>
      <w:r w:rsidRPr="009667D9">
        <w:rPr>
          <w:lang w:bidi="ru-RU"/>
        </w:rPr>
        <w:tab/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lastRenderedPageBreak/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предоставить </w:t>
      </w:r>
      <w:r w:rsidR="00A206CB">
        <w:rPr>
          <w:rFonts w:ascii="Times New Roman" w:hAnsi="Times New Roman" w:cs="Times New Roman"/>
          <w:sz w:val="28"/>
          <w:szCs w:val="28"/>
        </w:rPr>
        <w:lastRenderedPageBreak/>
        <w:t>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</w:rPr>
      </w:pP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8E4D89" w:rsidRPr="00B60259" w:rsidRDefault="00187868" w:rsidP="008E4D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sz w:val="28"/>
          <w:szCs w:val="28"/>
        </w:rPr>
        <w:t xml:space="preserve">а) </w:t>
      </w:r>
      <w:r w:rsidR="008E4D89" w:rsidRPr="00B60259">
        <w:rPr>
          <w:color w:val="000000" w:themeColor="text1"/>
          <w:sz w:val="28"/>
          <w:szCs w:val="28"/>
        </w:rPr>
        <w:t>заявление (запрос)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и 1.2 статьи 57.3 Градостроительного кодекса Российской Федерации</w:t>
      </w:r>
      <w:r w:rsidRPr="00B60259">
        <w:rPr>
          <w:color w:val="000000" w:themeColor="text1"/>
          <w:sz w:val="28"/>
          <w:szCs w:val="28"/>
        </w:rPr>
        <w:t>;</w:t>
      </w:r>
    </w:p>
    <w:p w:rsidR="008E4D89" w:rsidRPr="00B60259" w:rsidRDefault="008E4D89" w:rsidP="008E4D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 xml:space="preserve">б) </w:t>
      </w:r>
      <w:r w:rsidR="00B60259" w:rsidRPr="00B60259">
        <w:rPr>
          <w:sz w:val="28"/>
          <w:szCs w:val="28"/>
        </w:rPr>
        <w:t>заявление о выдаче градостроительного плана земельного участка представлено в орган, в полномочия которых не входит предоставление услуги</w:t>
      </w:r>
      <w:r w:rsidRPr="00B60259">
        <w:rPr>
          <w:color w:val="000000" w:themeColor="text1"/>
          <w:sz w:val="28"/>
          <w:szCs w:val="28"/>
        </w:rPr>
        <w:t>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>в</w:t>
      </w:r>
      <w:r w:rsidR="00187868" w:rsidRPr="00B60259">
        <w:rPr>
          <w:color w:val="000000" w:themeColor="text1"/>
          <w:sz w:val="28"/>
          <w:szCs w:val="28"/>
        </w:rPr>
        <w:t xml:space="preserve">) </w:t>
      </w:r>
      <w:r w:rsidRPr="00B60259">
        <w:rPr>
          <w:sz w:val="28"/>
          <w:szCs w:val="28"/>
        </w:rPr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8E4D8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 xml:space="preserve">г) </w:t>
      </w:r>
      <w:r w:rsidRPr="00B60259">
        <w:rPr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</w:r>
      <w:r w:rsidR="008E4D89" w:rsidRPr="00B60259">
        <w:rPr>
          <w:color w:val="000000" w:themeColor="text1"/>
          <w:sz w:val="28"/>
          <w:szCs w:val="28"/>
        </w:rPr>
        <w:t>.</w:t>
      </w: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187868" w:rsidRPr="00FF6631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Основания для приостановления предоставления</w:t>
      </w:r>
      <w:r w:rsidRPr="00FF6631">
        <w:rPr>
          <w:sz w:val="28"/>
          <w:szCs w:val="28"/>
        </w:rPr>
        <w:t xml:space="preserve"> муниципальной услуги отсутствуют.</w:t>
      </w: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2.12.3. </w:t>
      </w:r>
      <w:r w:rsidRPr="00B60259">
        <w:rPr>
          <w:sz w:val="28"/>
          <w:szCs w:val="28"/>
        </w:rPr>
        <w:t xml:space="preserve">Перечень оснований для отказа в предоставлении </w:t>
      </w:r>
      <w:r w:rsidR="008E45C8" w:rsidRPr="00FF6631">
        <w:rPr>
          <w:sz w:val="28"/>
          <w:szCs w:val="28"/>
        </w:rPr>
        <w:t>муниципальной</w:t>
      </w:r>
      <w:r w:rsidRPr="00B60259">
        <w:rPr>
          <w:sz w:val="28"/>
          <w:szCs w:val="28"/>
        </w:rPr>
        <w:t xml:space="preserve"> услуги: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а)</w:t>
      </w:r>
      <w:r w:rsidRPr="00B60259">
        <w:rPr>
          <w:color w:val="000000" w:themeColor="text1"/>
          <w:sz w:val="28"/>
          <w:szCs w:val="28"/>
        </w:rPr>
        <w:t xml:space="preserve">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б)</w:t>
      </w:r>
      <w:r w:rsidRPr="00B60259">
        <w:rPr>
          <w:color w:val="000000" w:themeColor="text1"/>
          <w:sz w:val="28"/>
          <w:szCs w:val="28"/>
        </w:rPr>
        <w:t xml:space="preserve">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lastRenderedPageBreak/>
        <w:t>в) выявлено несоблюдение установленных статьей 11 Федерального закона от 06.04.2011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87868" w:rsidRPr="00DC3999" w:rsidRDefault="00187868" w:rsidP="0018786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025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B6025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B60259">
        <w:rPr>
          <w:sz w:val="28"/>
          <w:szCs w:val="28"/>
        </w:rPr>
        <w:t>приведены в таблице</w:t>
      </w:r>
      <w:r w:rsidRPr="00DC3999">
        <w:rPr>
          <w:sz w:val="28"/>
          <w:szCs w:val="28"/>
        </w:rPr>
        <w:t xml:space="preserve"> № 3 приложения к Административному регламенту.</w:t>
      </w:r>
    </w:p>
    <w:p w:rsidR="00C71F13" w:rsidRPr="007E0619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8C1F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(проактивном)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2C1100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2C1100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 w:rsidR="002C1100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3 приложения к административному регламенту.</w:t>
      </w:r>
    </w:p>
    <w:p w:rsidR="00AA404E" w:rsidRPr="009667D9" w:rsidRDefault="00AA404E" w:rsidP="00AA40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374D03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2D2366">
        <w:rPr>
          <w:sz w:val="28"/>
          <w:szCs w:val="28"/>
        </w:rPr>
        <w:t xml:space="preserve"> градостроительной деятельности;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lastRenderedPageBreak/>
        <w:t>в) в Уполномоченном органе;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E72C3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454099" w:rsidRPr="009667D9" w:rsidRDefault="00454099" w:rsidP="00454099">
      <w:pPr>
        <w:pStyle w:val="1a"/>
        <w:tabs>
          <w:tab w:val="left" w:pos="1180"/>
        </w:tabs>
        <w:ind w:firstLine="539"/>
        <w:jc w:val="both"/>
      </w:pPr>
      <w:r w:rsidRPr="009667D9">
        <w:t xml:space="preserve"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</w:t>
      </w:r>
      <w:r w:rsidRPr="009667D9">
        <w:lastRenderedPageBreak/>
        <w:t>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2C1100">
        <w:rPr>
          <w:rFonts w:ascii="Times New Roman" w:hAnsi="Times New Roman" w:cs="Times New Roman"/>
          <w:sz w:val="28"/>
          <w:szCs w:val="28"/>
        </w:rPr>
        <w:t>по форме №</w:t>
      </w:r>
      <w:r w:rsidR="002120B8">
        <w:rPr>
          <w:rFonts w:ascii="Times New Roman" w:hAnsi="Times New Roman" w:cs="Times New Roman"/>
          <w:sz w:val="28"/>
          <w:szCs w:val="28"/>
        </w:rPr>
        <w:t xml:space="preserve">2 приложения к административному регламенту </w:t>
      </w:r>
      <w:r w:rsidRPr="009667D9">
        <w:rPr>
          <w:rFonts w:ascii="Times New Roman" w:hAnsi="Times New Roman" w:cs="Times New Roman"/>
          <w:sz w:val="28"/>
          <w:szCs w:val="28"/>
        </w:rPr>
        <w:t>направляется в течение 2 рабочих дня с даты получения заявления.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>Правообладатели сетей инженерно-технического обеспечения (за исключением сетей электроснабжения) представляет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запрашиваемые сведения в течении 5 рабочих дней 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>со дня, следующего за днем получения такого запроса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5B2F65" w:rsidRDefault="005B2F6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F1300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4F3A5F" w:rsidRPr="0088799E" w:rsidRDefault="004F3A5F" w:rsidP="004F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градостроительный план земельного участка;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почтовым отправлением, в Уполномоченном органе, в МФЦ, с использованием федеральной государственной информационной системы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«Единый портал государственных и муниципальных услуг (функций)»,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решение об отказе в предоставлении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</w:t>
      </w:r>
      <w:r w:rsidR="002C1100">
        <w:rPr>
          <w:rFonts w:ascii="Times New Roman" w:hAnsi="Times New Roman" w:cs="Times New Roman"/>
          <w:sz w:val="28"/>
          <w:szCs w:val="28"/>
        </w:rPr>
        <w:t>ального закона №</w:t>
      </w:r>
      <w:r w:rsidRPr="00085EE0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>,  не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8E4D89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«Выдача градостроительного плана 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земельного участка»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 </w:t>
      </w:r>
      <w:r w:rsidRPr="009667D9">
        <w:rPr>
          <w:sz w:val="28"/>
          <w:szCs w:val="28"/>
        </w:rPr>
        <w:t>«Выдача градостроительного плана земельного участка»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выдаче градостроительного плана земельного участка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2C1100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</w:t>
      </w:r>
      <w:r w:rsidR="00BD07F5">
        <w:rPr>
          <w:rFonts w:ascii="Times New Roman" w:hAnsi="Times New Roman" w:cs="Times New Roman"/>
          <w:sz w:val="24"/>
        </w:rPr>
        <w:t>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pStyle w:val="ConsPlusTitle"/>
        <w:jc w:val="center"/>
        <w:outlineLvl w:val="2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1"/>
        <w:gridCol w:w="1942"/>
        <w:gridCol w:w="3287"/>
      </w:tblGrid>
      <w:tr w:rsidR="00601E95" w:rsidTr="00825805">
        <w:trPr>
          <w:trHeight w:val="720"/>
        </w:trPr>
        <w:tc>
          <w:tcPr>
            <w:tcW w:w="4110" w:type="dxa"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01E95" w:rsidRPr="00601E95" w:rsidRDefault="00601E95" w:rsidP="00601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ab/>
              <w:t>градостроительный план земельного участка на бумажном носителе или в электронном виде;</w:t>
            </w:r>
          </w:p>
          <w:p w:rsidR="00601E95" w:rsidRPr="00601E95" w:rsidRDefault="00601E95" w:rsidP="00601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об отказе в выдаче градостроительного плана земельного участка на бумажном носителе или в электронном виде.</w:t>
            </w:r>
          </w:p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P, *.TIFF, *.ZIP, *.RAR, *.SIG;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(устанавливающий) права заявителя на земельный участок 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ED73D8"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F5" w:rsidRPr="004B532A" w:rsidRDefault="00BD07F5" w:rsidP="00543B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3096C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3119" w:type="dxa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4F0C9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</w:t>
            </w:r>
            <w:r w:rsidR="00BD07F5" w:rsidRPr="004F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</w:t>
            </w:r>
            <w:r w:rsidR="00BD07F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07F5" w:rsidRPr="00CE1B03">
              <w:rPr>
                <w:rFonts w:ascii="Times New Roman" w:hAnsi="Times New Roman" w:cs="Times New Roman"/>
                <w:sz w:val="24"/>
                <w:szCs w:val="24"/>
              </w:rPr>
              <w:t>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</w:t>
            </w:r>
            <w:r w:rsidR="00BD07F5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нформация о границах зон с особыми условиями использования территорий, в том числе, если земельный участок полностью или частично расположен в границах таких зон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ED73D8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lastRenderedPageBreak/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2C1100" w:rsidRDefault="002C1100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>
        <w:rPr>
          <w:rFonts w:ascii="Times New Roman" w:hAnsi="Times New Roman" w:cs="Times New Roman"/>
          <w:sz w:val="24"/>
        </w:rPr>
        <w:t>Таблица №</w:t>
      </w:r>
      <w:r w:rsidR="00BD07F5" w:rsidRPr="002C1100">
        <w:rPr>
          <w:rFonts w:ascii="Times New Roman" w:hAnsi="Times New Roman" w:cs="Times New Roman"/>
          <w:sz w:val="24"/>
        </w:rPr>
        <w:t>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DA5CE6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BD07F5"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аявление</w:t>
            </w:r>
            <w:r w:rsidR="00855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(запрос)</w:t>
            </w:r>
            <w:r w:rsidR="00BD07F5"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и 1.2 статьи 57.3 Градостроительного кодекса Российской Федерации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317991" w:rsidRDefault="008E4D89" w:rsidP="008E4D8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991">
              <w:rPr>
                <w:rFonts w:ascii="Times New Roman" w:hAnsi="Times New Roman" w:cs="Times New Roman"/>
              </w:rPr>
              <w:t>заявление о выдаче градостроительного плана земельного участка представлено в орган, в полномочия которых не входит предоставление услуги</w:t>
            </w:r>
            <w:r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D07F5" w:rsidRPr="00192538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8E4D89" w:rsidRPr="00192538" w:rsidTr="0093056C">
        <w:tc>
          <w:tcPr>
            <w:tcW w:w="680" w:type="dxa"/>
            <w:vAlign w:val="center"/>
          </w:tcPr>
          <w:p w:rsidR="008E4D89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8E4D89" w:rsidRPr="00317991" w:rsidRDefault="008E4D89" w:rsidP="008E4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2126" w:type="dxa"/>
            <w:vAlign w:val="center"/>
          </w:tcPr>
          <w:p w:rsidR="008E4D89" w:rsidRPr="00192538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BD07F5" w:rsidRPr="008E4D89" w:rsidRDefault="008E4D89" w:rsidP="008E4D89">
            <w:pPr>
              <w:pStyle w:val="1a"/>
              <w:tabs>
                <w:tab w:val="left" w:pos="1180"/>
              </w:tabs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E4D89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1C1DAA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BD07F5" w:rsidRPr="00317991">
              <w:rPr>
                <w:rFonts w:ascii="Times New Roman" w:hAnsi="Times New Roman" w:cs="Times New Roman"/>
                <w:sz w:val="24"/>
              </w:rPr>
              <w:t>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8E4D89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BD07F5" w:rsidRPr="008E4D89" w:rsidRDefault="008E4D89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Default="00B6025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112" w:type="dxa"/>
          </w:tcPr>
          <w:p w:rsidR="00BD07F5" w:rsidRPr="00317991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</w:rPr>
              <w:t>выявлено несоблюдение установленных статьей 11 Федерального закона от 06.04.2011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BD07F5" w:rsidRPr="009667D9" w:rsidRDefault="00BD07F5" w:rsidP="00BD07F5">
      <w:pPr>
        <w:widowControl w:val="0"/>
        <w:jc w:val="center"/>
        <w:rPr>
          <w:sz w:val="28"/>
          <w:szCs w:val="28"/>
          <w:lang w:eastAsia="en-US"/>
        </w:rPr>
      </w:pPr>
      <w:r w:rsidRPr="009667D9">
        <w:rPr>
          <w:b/>
          <w:bCs/>
          <w:sz w:val="28"/>
          <w:szCs w:val="28"/>
          <w:lang w:eastAsia="en-US"/>
        </w:rPr>
        <w:t>ЗА</w:t>
      </w:r>
      <w:r w:rsidR="00246B41">
        <w:rPr>
          <w:b/>
          <w:bCs/>
          <w:sz w:val="28"/>
          <w:szCs w:val="28"/>
          <w:lang w:eastAsia="en-US"/>
        </w:rPr>
        <w:t>ПРОС</w:t>
      </w:r>
    </w:p>
    <w:p w:rsidR="00BD07F5" w:rsidRPr="009667D9" w:rsidRDefault="00BD07F5" w:rsidP="00BD07F5">
      <w:pPr>
        <w:widowControl w:val="0"/>
        <w:jc w:val="center"/>
        <w:rPr>
          <w:sz w:val="28"/>
          <w:szCs w:val="28"/>
          <w:lang w:eastAsia="en-US"/>
        </w:rPr>
      </w:pPr>
      <w:r w:rsidRPr="009667D9">
        <w:rPr>
          <w:b/>
          <w:bCs/>
          <w:sz w:val="28"/>
          <w:szCs w:val="28"/>
          <w:lang w:eastAsia="en-US"/>
        </w:rPr>
        <w:t>о выдаче градостроительного плана земельного участка</w:t>
      </w:r>
    </w:p>
    <w:p w:rsidR="00BD07F5" w:rsidRPr="009667D9" w:rsidRDefault="00BD07F5" w:rsidP="00BD07F5">
      <w:pPr>
        <w:widowControl w:val="0"/>
        <w:tabs>
          <w:tab w:val="left" w:leader="underscore" w:pos="1982"/>
        </w:tabs>
        <w:jc w:val="right"/>
        <w:rPr>
          <w:sz w:val="28"/>
          <w:szCs w:val="28"/>
          <w:lang w:eastAsia="en-US"/>
        </w:rPr>
      </w:pPr>
      <w:r w:rsidRPr="009667D9">
        <w:rPr>
          <w:sz w:val="28"/>
          <w:szCs w:val="28"/>
          <w:lang w:eastAsia="en-US"/>
        </w:rPr>
        <w:t xml:space="preserve">"__" </w:t>
      </w:r>
      <w:r w:rsidRPr="009667D9">
        <w:rPr>
          <w:sz w:val="28"/>
          <w:szCs w:val="28"/>
          <w:lang w:eastAsia="en-US"/>
        </w:rPr>
        <w:tab/>
        <w:t xml:space="preserve"> 20___ г.</w:t>
      </w:r>
    </w:p>
    <w:p w:rsidR="00BD07F5" w:rsidRPr="009667D9" w:rsidRDefault="00BD07F5" w:rsidP="00BD07F5">
      <w:pPr>
        <w:widowControl w:val="0"/>
        <w:tabs>
          <w:tab w:val="left" w:leader="underscore" w:pos="1982"/>
        </w:tabs>
        <w:jc w:val="right"/>
        <w:rPr>
          <w:lang w:eastAsia="en-US"/>
        </w:rPr>
      </w:pPr>
      <w:r w:rsidRPr="009667D9">
        <w:rPr>
          <w:lang w:eastAsia="en-US"/>
        </w:rPr>
        <w:t>В Управление архитектуры и градостроительства администрации города Прокопьевска</w:t>
      </w:r>
    </w:p>
    <w:p w:rsidR="00BD07F5" w:rsidRPr="009667D9" w:rsidRDefault="00BD07F5" w:rsidP="00BD07F5">
      <w:pPr>
        <w:widowControl w:val="0"/>
        <w:pBdr>
          <w:top w:val="single" w:sz="4" w:space="0" w:color="auto"/>
        </w:pBdr>
        <w:ind w:firstLine="660"/>
        <w:jc w:val="center"/>
        <w:rPr>
          <w:sz w:val="19"/>
          <w:szCs w:val="19"/>
          <w:lang w:eastAsia="en-US"/>
        </w:rPr>
      </w:pPr>
      <w:r w:rsidRPr="009667D9">
        <w:rPr>
          <w:sz w:val="19"/>
          <w:szCs w:val="19"/>
          <w:lang w:eastAsia="en-US"/>
        </w:rPr>
        <w:t>(наименование уполномоченного органа)</w:t>
      </w:r>
    </w:p>
    <w:p w:rsidR="00BD07F5" w:rsidRPr="009667D9" w:rsidRDefault="00BD07F5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9667D9" w:rsidRDefault="00BD07F5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9667D9" w:rsidRDefault="00BD07F5" w:rsidP="00BD07F5">
      <w:pPr>
        <w:pStyle w:val="afc"/>
        <w:shd w:val="clear" w:color="auto" w:fill="auto"/>
        <w:ind w:left="3518"/>
        <w:rPr>
          <w:b/>
          <w:sz w:val="28"/>
          <w:szCs w:val="28"/>
        </w:rPr>
      </w:pPr>
      <w:r w:rsidRPr="009667D9">
        <w:rPr>
          <w:b/>
          <w:sz w:val="28"/>
          <w:szCs w:val="28"/>
        </w:rPr>
        <w:t>1. Сведения о заявителе</w:t>
      </w: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080"/>
        <w:gridCol w:w="4805"/>
      </w:tblGrid>
      <w:tr w:rsidR="00BD07F5" w:rsidRPr="009667D9" w:rsidTr="0093056C">
        <w:trPr>
          <w:trHeight w:hRule="exact" w:val="97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41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4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52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98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43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7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bCs/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8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Идентификационный номер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налогоплательщика - юридического лица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</w:tbl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D07F5" w:rsidRPr="009667D9" w:rsidRDefault="00BD07F5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  <w:r w:rsidRPr="009667D9">
        <w:rPr>
          <w:b/>
          <w:sz w:val="28"/>
          <w:szCs w:val="28"/>
        </w:rPr>
        <w:lastRenderedPageBreak/>
        <w:t>2. Сведения о земельном участке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114"/>
        <w:gridCol w:w="4771"/>
      </w:tblGrid>
      <w:tr w:rsidR="00BD07F5" w:rsidRPr="009667D9" w:rsidTr="0093056C">
        <w:trPr>
          <w:trHeight w:hRule="exact" w:val="65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301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9667D9">
              <w:rPr>
                <w:bCs/>
                <w:i/>
                <w:iCs/>
                <w:sz w:val="24"/>
                <w:szCs w:val="24"/>
              </w:rPr>
              <w:t>(указываются в случае, предусмотренном частью 1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1 </w:t>
            </w:r>
            <w:r w:rsidRPr="009667D9">
              <w:rPr>
                <w:bCs/>
                <w:i/>
                <w:iCs/>
                <w:sz w:val="24"/>
                <w:szCs w:val="24"/>
              </w:rPr>
              <w:t>статьи 57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9667D9">
              <w:rPr>
                <w:bCs/>
                <w:i/>
                <w:iCs/>
                <w:sz w:val="24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56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83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i/>
                <w:iCs/>
                <w:sz w:val="24"/>
                <w:szCs w:val="24"/>
              </w:rPr>
              <w:t>(указываются в случае, предусмотренном частью 1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1 </w:t>
            </w:r>
            <w:r w:rsidRPr="009667D9">
              <w:rPr>
                <w:bCs/>
                <w:i/>
                <w:iCs/>
                <w:sz w:val="24"/>
                <w:szCs w:val="24"/>
              </w:rPr>
              <w:t>статьи 57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9667D9">
              <w:rPr>
                <w:bCs/>
                <w:i/>
                <w:iCs/>
                <w:sz w:val="24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</w:tbl>
    <w:p w:rsidR="00BD07F5" w:rsidRPr="009667D9" w:rsidRDefault="00BD07F5" w:rsidP="00BD07F5">
      <w:pPr>
        <w:spacing w:after="299" w:line="1" w:lineRule="exact"/>
      </w:pPr>
    </w:p>
    <w:p w:rsidR="00BD07F5" w:rsidRPr="009667D9" w:rsidRDefault="00BD07F5" w:rsidP="00BD07F5">
      <w:pPr>
        <w:pStyle w:val="1a"/>
        <w:shd w:val="clear" w:color="auto" w:fill="auto"/>
        <w:ind w:firstLine="780"/>
      </w:pPr>
      <w:r w:rsidRPr="009667D9">
        <w:t>Прошу выдать градостроительный план земельного участка.</w:t>
      </w:r>
    </w:p>
    <w:p w:rsidR="00BD07F5" w:rsidRPr="009667D9" w:rsidRDefault="00BD07F5" w:rsidP="00BD07F5">
      <w:pPr>
        <w:pStyle w:val="1a"/>
        <w:shd w:val="clear" w:color="auto" w:fill="auto"/>
        <w:tabs>
          <w:tab w:val="left" w:leader="underscore" w:pos="9751"/>
        </w:tabs>
        <w:ind w:firstLine="0"/>
      </w:pPr>
      <w:r w:rsidRPr="009667D9">
        <w:t xml:space="preserve">Приложение: </w:t>
      </w:r>
      <w:r w:rsidRPr="009667D9">
        <w:tab/>
      </w:r>
    </w:p>
    <w:p w:rsidR="00BD07F5" w:rsidRPr="009667D9" w:rsidRDefault="00BD07F5" w:rsidP="00BD07F5">
      <w:pPr>
        <w:pStyle w:val="1a"/>
        <w:shd w:val="clear" w:color="auto" w:fill="auto"/>
        <w:tabs>
          <w:tab w:val="left" w:leader="underscore" w:pos="9751"/>
        </w:tabs>
        <w:ind w:firstLine="0"/>
      </w:pPr>
      <w:r w:rsidRPr="009667D9">
        <w:t xml:space="preserve">Номер телефона и адрес электронной почты для связи: </w:t>
      </w:r>
      <w:r w:rsidRPr="009667D9">
        <w:tab/>
      </w:r>
    </w:p>
    <w:p w:rsidR="00BD07F5" w:rsidRPr="009667D9" w:rsidRDefault="00BD07F5" w:rsidP="00BD07F5">
      <w:pPr>
        <w:pStyle w:val="1a"/>
        <w:shd w:val="clear" w:color="auto" w:fill="auto"/>
        <w:spacing w:after="300"/>
        <w:ind w:firstLine="0"/>
      </w:pPr>
      <w:r w:rsidRPr="009667D9">
        <w:t>Результат предоставления услуги прошу:</w:t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1"/>
        <w:gridCol w:w="960"/>
      </w:tblGrid>
      <w:tr w:rsidR="00BD07F5" w:rsidRPr="009667D9" w:rsidTr="0093056C">
        <w:trPr>
          <w:trHeight w:hRule="exact" w:val="1814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0E0341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0E0341">
              <w:rPr>
                <w:bCs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(функций/ </w:t>
            </w:r>
            <w:r w:rsidRPr="000E0341">
              <w:rPr>
                <w:color w:val="000000"/>
                <w:sz w:val="24"/>
                <w:szCs w:val="24"/>
                <w:shd w:val="clear" w:color="auto" w:fill="FFFFFF"/>
              </w:rPr>
      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25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bCs/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57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300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667D9">
              <w:rPr>
                <w:b/>
                <w:bCs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rPr>
                <w:sz w:val="10"/>
                <w:szCs w:val="10"/>
              </w:rPr>
            </w:pPr>
          </w:p>
        </w:tc>
      </w:tr>
    </w:tbl>
    <w:p w:rsidR="00BD07F5" w:rsidRPr="009667D9" w:rsidRDefault="00BD07F5" w:rsidP="00BD07F5"/>
    <w:p w:rsidR="00BD07F5" w:rsidRPr="009667D9" w:rsidRDefault="007637BB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66.65pt;margin-top:1pt;width:45.6pt;height:13.9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OBrQ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" filled="f" stroked="f">
            <v:textbox inset="0,0,0,0">
              <w:txbxContent>
                <w:p w:rsidR="008E4D89" w:rsidRDefault="008E4D89" w:rsidP="00BD07F5">
                  <w:pPr>
                    <w:pStyle w:val="29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 w:rsidR="00BD07F5" w:rsidRPr="009667D9">
        <w:rPr>
          <w:rFonts w:ascii="Times New Roman" w:hAnsi="Times New Roman" w:cs="Times New Roman"/>
        </w:rPr>
        <w:t>(фамилия, имя, отчество (при наличии)</w:t>
      </w:r>
    </w:p>
    <w:p w:rsidR="008A7927" w:rsidRDefault="008A7927" w:rsidP="00BD07F5">
      <w:pPr>
        <w:ind w:right="142" w:firstLine="709"/>
        <w:jc w:val="right"/>
      </w:pPr>
    </w:p>
    <w:p w:rsidR="008A7927" w:rsidRDefault="008A7927" w:rsidP="00BD07F5">
      <w:pPr>
        <w:ind w:right="142" w:firstLine="709"/>
        <w:jc w:val="right"/>
      </w:pPr>
    </w:p>
    <w:p w:rsidR="00BE2061" w:rsidRDefault="00BE2061" w:rsidP="00BD07F5">
      <w:pPr>
        <w:ind w:right="142" w:firstLine="709"/>
        <w:jc w:val="right"/>
      </w:pPr>
    </w:p>
    <w:p w:rsidR="00BE2061" w:rsidRDefault="00BE2061" w:rsidP="00BD07F5">
      <w:pPr>
        <w:ind w:right="142" w:firstLine="709"/>
        <w:jc w:val="right"/>
      </w:pPr>
    </w:p>
    <w:p w:rsidR="00BE2061" w:rsidRDefault="00BE2061" w:rsidP="00BD07F5">
      <w:pPr>
        <w:ind w:right="142" w:firstLine="709"/>
        <w:jc w:val="right"/>
      </w:pPr>
    </w:p>
    <w:p w:rsidR="008A7927" w:rsidRPr="009667D9" w:rsidRDefault="008A7927" w:rsidP="008A7927">
      <w:pPr>
        <w:ind w:right="142" w:firstLine="709"/>
        <w:jc w:val="right"/>
      </w:pPr>
      <w:r w:rsidRPr="009667D9">
        <w:lastRenderedPageBreak/>
        <w:t>ФОРМА</w:t>
      </w:r>
      <w:r>
        <w:t xml:space="preserve"> №2</w:t>
      </w:r>
    </w:p>
    <w:p w:rsidR="008A7927" w:rsidRDefault="008A7927" w:rsidP="008A7927">
      <w:pPr>
        <w:ind w:right="142"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8A7927" w:rsidTr="002B20E2">
        <w:trPr>
          <w:trHeight w:val="495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noProof/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7715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УПРАВЛЕНИЕ АРХИТЕКТУРЫ И ГРАДОСТРОИТЕЛЬСТВА АДМИНИСТРАЦИИ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500"/>
              </w:rPr>
            </w:pPr>
            <w:r>
              <w:rPr>
                <w:b/>
                <w:sz w:val="28"/>
              </w:rPr>
              <w:t>ГОРОДА ПРОКОПЬЕВСКА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 xml:space="preserve">653050, Кемеровская область-Кузбасс, 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 xml:space="preserve">г. Прокопьевск, ул. Есенина, 48. 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>Тел. (3846) 65-26-70/ факс (3846) 65-13-30</w:t>
            </w:r>
          </w:p>
          <w:p w:rsidR="008A7927" w:rsidRPr="00C928CE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  <w:r w:rsidRPr="00C928CE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C928CE">
              <w:rPr>
                <w:sz w:val="22"/>
                <w:lang w:val="en-US"/>
              </w:rPr>
              <w:t xml:space="preserve">: </w:t>
            </w:r>
            <w:r>
              <w:rPr>
                <w:lang w:val="en-US"/>
              </w:rPr>
              <w:t>arch</w:t>
            </w:r>
            <w:r w:rsidRPr="00C928CE">
              <w:rPr>
                <w:lang w:val="en-US"/>
              </w:rPr>
              <w:t>-</w:t>
            </w:r>
            <w:r>
              <w:rPr>
                <w:lang w:val="en-US"/>
              </w:rPr>
              <w:t>prkp</w:t>
            </w:r>
            <w:r w:rsidRPr="00C928CE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C928CE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  <w:r w:rsidRPr="00C928CE">
              <w:rPr>
                <w:sz w:val="22"/>
                <w:lang w:val="en-US"/>
              </w:rPr>
              <w:t>.</w:t>
            </w:r>
          </w:p>
          <w:p w:rsidR="008A7927" w:rsidRPr="00601D41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u w:val="single"/>
              </w:rPr>
            </w:pPr>
            <w:r>
              <w:rPr>
                <w:b/>
                <w:sz w:val="22"/>
              </w:rPr>
              <w:t>от ______________   №  ________</w:t>
            </w:r>
          </w:p>
          <w:p w:rsidR="008A7927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8A7927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8"/>
              </w:rPr>
              <w:t>О предоставлении информации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right="382"/>
              <w:textAlignment w:val="baseline"/>
              <w:rPr>
                <w:noProof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ind w:left="1147"/>
              <w:jc w:val="center"/>
              <w:rPr>
                <w:b/>
                <w:bCs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left="864" w:firstLine="3955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</w:rPr>
            </w:pPr>
          </w:p>
        </w:tc>
      </w:tr>
    </w:tbl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jc w:val="center"/>
        <w:rPr>
          <w:sz w:val="28"/>
        </w:rPr>
      </w:pPr>
      <w:r>
        <w:rPr>
          <w:sz w:val="28"/>
        </w:rPr>
        <w:t>Запрос</w:t>
      </w:r>
    </w:p>
    <w:p w:rsidR="008A7927" w:rsidRDefault="008A7927" w:rsidP="008A7927">
      <w:pPr>
        <w:rPr>
          <w:sz w:val="28"/>
          <w:u w:val="single"/>
        </w:rPr>
      </w:pP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  <w:szCs w:val="28"/>
        </w:rPr>
        <w:t>Для подготовки градостроительного плана земельного участка   с кадастровым номером ____________________________, расположенного по адресу:</w:t>
      </w:r>
      <w:r w:rsidRPr="006F6BB2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________________________________________________________,  в соответствии с пунктом 7 статьи 57.3 Градостроительного кодекса Российской Федерации, п</w:t>
      </w:r>
      <w:r>
        <w:rPr>
          <w:sz w:val="28"/>
        </w:rPr>
        <w:t xml:space="preserve">росим Вас предоставить информацию о возможности подключения (технологического присоединения) объекта капитального строительства к сетям инженерно-технического обеспечения (водоснабжения, водоотведения), в состав которой входят сведения  о максимальной нагрузке в возможных точках подключения (с указанием точки присоединения) к таким сетям. </w:t>
      </w: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</w:rPr>
        <w:t>Запрашиваемая информация подлежит представлению в течении 5 рабочих дней со дня, следующего за днем получения такого запроса.</w:t>
      </w:r>
    </w:p>
    <w:p w:rsidR="008A7927" w:rsidRDefault="008A7927" w:rsidP="008A7927">
      <w:pPr>
        <w:ind w:firstLine="567"/>
        <w:jc w:val="both"/>
        <w:rPr>
          <w:sz w:val="28"/>
        </w:rPr>
      </w:pP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</w:rPr>
        <w:t>Приложения:</w:t>
      </w:r>
    </w:p>
    <w:p w:rsidR="008A7927" w:rsidRDefault="008A7927" w:rsidP="008A7927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 Схема </w:t>
      </w:r>
    </w:p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445063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445063" w:rsidRDefault="00445063" w:rsidP="00445063">
      <w:pPr>
        <w:pStyle w:val="ConsPlusNormal"/>
        <w:jc w:val="both"/>
      </w:pPr>
    </w:p>
    <w:p w:rsidR="00445063" w:rsidRP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B03E01" w:rsidRPr="00445063" w:rsidRDefault="00B03E01" w:rsidP="00DD2689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sz w:val="28"/>
          <w:szCs w:val="28"/>
        </w:rPr>
      </w:pPr>
    </w:p>
    <w:sectPr w:rsidR="00B03E01" w:rsidRPr="00445063" w:rsidSect="002B20E2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BB" w:rsidRDefault="007637BB" w:rsidP="00252EF0">
      <w:r>
        <w:separator/>
      </w:r>
    </w:p>
  </w:endnote>
  <w:endnote w:type="continuationSeparator" w:id="0">
    <w:p w:rsidR="007637BB" w:rsidRDefault="007637BB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89" w:rsidRDefault="00DE1E77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D89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D89" w:rsidRDefault="008E4D89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89" w:rsidRDefault="008E4D89" w:rsidP="008717A9">
    <w:pPr>
      <w:pStyle w:val="a9"/>
      <w:framePr w:wrap="around" w:vAnchor="text" w:hAnchor="margin" w:xAlign="right" w:y="1"/>
      <w:rPr>
        <w:rStyle w:val="af4"/>
      </w:rPr>
    </w:pPr>
  </w:p>
  <w:p w:rsidR="008E4D89" w:rsidRDefault="008E4D89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BB" w:rsidRDefault="007637BB" w:rsidP="00252EF0">
      <w:r>
        <w:separator/>
      </w:r>
    </w:p>
  </w:footnote>
  <w:footnote w:type="continuationSeparator" w:id="0">
    <w:p w:rsidR="007637BB" w:rsidRDefault="007637BB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89" w:rsidRDefault="008E4D89" w:rsidP="00734B71">
    <w:pPr>
      <w:pStyle w:val="a7"/>
    </w:pPr>
  </w:p>
  <w:p w:rsidR="008E4D89" w:rsidRDefault="008E4D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0741A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1C4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83E2C"/>
    <w:rsid w:val="00186E5C"/>
    <w:rsid w:val="00187868"/>
    <w:rsid w:val="00187F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A71EC"/>
    <w:rsid w:val="001B1A7A"/>
    <w:rsid w:val="001B2E35"/>
    <w:rsid w:val="001C0BC0"/>
    <w:rsid w:val="001C1DAA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2CB7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1100"/>
    <w:rsid w:val="002C6A98"/>
    <w:rsid w:val="002C72BF"/>
    <w:rsid w:val="002C7353"/>
    <w:rsid w:val="002D2366"/>
    <w:rsid w:val="002D294B"/>
    <w:rsid w:val="002D35AE"/>
    <w:rsid w:val="002D556A"/>
    <w:rsid w:val="002D67F7"/>
    <w:rsid w:val="002F0B79"/>
    <w:rsid w:val="002F2DCB"/>
    <w:rsid w:val="002F4B1B"/>
    <w:rsid w:val="002F60AE"/>
    <w:rsid w:val="002F7C44"/>
    <w:rsid w:val="00305A8F"/>
    <w:rsid w:val="003068E3"/>
    <w:rsid w:val="00306FAA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36D9"/>
    <w:rsid w:val="00343FF6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2AE"/>
    <w:rsid w:val="00365A68"/>
    <w:rsid w:val="0037237F"/>
    <w:rsid w:val="00374D03"/>
    <w:rsid w:val="00376B43"/>
    <w:rsid w:val="00380067"/>
    <w:rsid w:val="0038157E"/>
    <w:rsid w:val="00383514"/>
    <w:rsid w:val="00384EC9"/>
    <w:rsid w:val="00386114"/>
    <w:rsid w:val="00396563"/>
    <w:rsid w:val="003A4C9B"/>
    <w:rsid w:val="003A5C85"/>
    <w:rsid w:val="003B08BD"/>
    <w:rsid w:val="003B11D3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558"/>
    <w:rsid w:val="004076DE"/>
    <w:rsid w:val="00415C94"/>
    <w:rsid w:val="0041689F"/>
    <w:rsid w:val="004171B2"/>
    <w:rsid w:val="00422048"/>
    <w:rsid w:val="0042779C"/>
    <w:rsid w:val="00431298"/>
    <w:rsid w:val="004335C8"/>
    <w:rsid w:val="00435FD4"/>
    <w:rsid w:val="004370FF"/>
    <w:rsid w:val="00441ADB"/>
    <w:rsid w:val="00441EBA"/>
    <w:rsid w:val="00442524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3A5F"/>
    <w:rsid w:val="004F45D0"/>
    <w:rsid w:val="004F7632"/>
    <w:rsid w:val="00500822"/>
    <w:rsid w:val="00504409"/>
    <w:rsid w:val="005066B9"/>
    <w:rsid w:val="005067A9"/>
    <w:rsid w:val="005079BA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974B4"/>
    <w:rsid w:val="005A258F"/>
    <w:rsid w:val="005A2EA8"/>
    <w:rsid w:val="005A6173"/>
    <w:rsid w:val="005A61FC"/>
    <w:rsid w:val="005A679E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D0317"/>
    <w:rsid w:val="005D2D14"/>
    <w:rsid w:val="005D2F0A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696E"/>
    <w:rsid w:val="005F7275"/>
    <w:rsid w:val="005F7BCE"/>
    <w:rsid w:val="006003F4"/>
    <w:rsid w:val="006012EB"/>
    <w:rsid w:val="00601E95"/>
    <w:rsid w:val="00602538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0028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B05FD"/>
    <w:rsid w:val="006B61BB"/>
    <w:rsid w:val="006C1FC1"/>
    <w:rsid w:val="006C3CEC"/>
    <w:rsid w:val="006C4D71"/>
    <w:rsid w:val="006C63BD"/>
    <w:rsid w:val="006D07F7"/>
    <w:rsid w:val="006D236F"/>
    <w:rsid w:val="006D2FFA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4B71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7BB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0739"/>
    <w:rsid w:val="007C2D85"/>
    <w:rsid w:val="007C312A"/>
    <w:rsid w:val="007C47DB"/>
    <w:rsid w:val="007D2293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6731"/>
    <w:rsid w:val="00816948"/>
    <w:rsid w:val="00820330"/>
    <w:rsid w:val="00820335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5B5E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45C8"/>
    <w:rsid w:val="008E4D89"/>
    <w:rsid w:val="008E6908"/>
    <w:rsid w:val="008E77EF"/>
    <w:rsid w:val="008F374D"/>
    <w:rsid w:val="008F3782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E7B2C"/>
    <w:rsid w:val="009F26C6"/>
    <w:rsid w:val="009F2A7B"/>
    <w:rsid w:val="009F712B"/>
    <w:rsid w:val="009F754F"/>
    <w:rsid w:val="00A033A5"/>
    <w:rsid w:val="00A04B9F"/>
    <w:rsid w:val="00A05085"/>
    <w:rsid w:val="00A058CB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55C9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0472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1D8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05B4C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47B6F"/>
    <w:rsid w:val="00B52CE1"/>
    <w:rsid w:val="00B54FCA"/>
    <w:rsid w:val="00B555D4"/>
    <w:rsid w:val="00B60259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14EE"/>
    <w:rsid w:val="00BB5F28"/>
    <w:rsid w:val="00BC36BD"/>
    <w:rsid w:val="00BC3C47"/>
    <w:rsid w:val="00BD07F5"/>
    <w:rsid w:val="00BD3055"/>
    <w:rsid w:val="00BD617A"/>
    <w:rsid w:val="00BE2061"/>
    <w:rsid w:val="00BE3FC9"/>
    <w:rsid w:val="00BE5DE3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D41"/>
    <w:rsid w:val="00C66D4A"/>
    <w:rsid w:val="00C67AFD"/>
    <w:rsid w:val="00C67EBD"/>
    <w:rsid w:val="00C70686"/>
    <w:rsid w:val="00C71F13"/>
    <w:rsid w:val="00C72551"/>
    <w:rsid w:val="00C802F2"/>
    <w:rsid w:val="00C82137"/>
    <w:rsid w:val="00C8484A"/>
    <w:rsid w:val="00C86B8A"/>
    <w:rsid w:val="00C8744F"/>
    <w:rsid w:val="00C92740"/>
    <w:rsid w:val="00C928CE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2944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5CE6"/>
    <w:rsid w:val="00DA6020"/>
    <w:rsid w:val="00DA69E2"/>
    <w:rsid w:val="00DA7392"/>
    <w:rsid w:val="00DA78E1"/>
    <w:rsid w:val="00DB024F"/>
    <w:rsid w:val="00DB0D5A"/>
    <w:rsid w:val="00DB3DAF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1E77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77123"/>
    <w:rsid w:val="00E803A9"/>
    <w:rsid w:val="00E80ED7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3EF715-DFE6-41C6-BE45-50CF2568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1878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541E-E769-4160-841A-654EE2BD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5764</Words>
  <Characters>32858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33</cp:revision>
  <cp:lastPrinted>2026-02-27T05:33:00Z</cp:lastPrinted>
  <dcterms:created xsi:type="dcterms:W3CDTF">2025-10-30T04:10:00Z</dcterms:created>
  <dcterms:modified xsi:type="dcterms:W3CDTF">2026-05-13T04:44:00Z</dcterms:modified>
</cp:coreProperties>
</file>